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99F" w:rsidRDefault="0029799F" w:rsidP="00A71FC9">
      <w:pPr>
        <w:pStyle w:val="Paragraphestandard"/>
        <w:spacing w:line="240" w:lineRule="auto"/>
        <w:ind w:right="-27"/>
        <w:jc w:val="right"/>
        <w:rPr>
          <w:rFonts w:ascii="Arial" w:hAnsi="Arial" w:cs="DejaVuSansCondensed-Bold"/>
          <w:b/>
          <w:bCs/>
          <w:color w:val="E00736"/>
          <w:sz w:val="28"/>
          <w:szCs w:val="26"/>
        </w:rPr>
      </w:pPr>
    </w:p>
    <w:p w:rsidR="0029799F" w:rsidRDefault="0029799F" w:rsidP="00AA0301">
      <w:pPr>
        <w:pStyle w:val="Paragraphestandard"/>
        <w:spacing w:line="240" w:lineRule="auto"/>
        <w:ind w:right="-27"/>
        <w:jc w:val="right"/>
        <w:rPr>
          <w:rFonts w:ascii="Arial" w:hAnsi="Arial" w:cs="DejaVuSansCondensed-Bold"/>
          <w:b/>
          <w:bCs/>
          <w:color w:val="E00736"/>
          <w:sz w:val="28"/>
          <w:szCs w:val="26"/>
        </w:rPr>
      </w:pPr>
    </w:p>
    <w:p w:rsidR="005656CB" w:rsidRDefault="005656CB" w:rsidP="0046646B">
      <w:pPr>
        <w:pStyle w:val="Paragraphestandard"/>
        <w:spacing w:line="240" w:lineRule="auto"/>
        <w:ind w:right="2266"/>
        <w:jc w:val="right"/>
        <w:rPr>
          <w:rFonts w:ascii="Arial" w:hAnsi="Arial" w:cs="DejaVuSansCondensed-Bold"/>
          <w:b/>
          <w:bCs/>
          <w:color w:val="E00736"/>
          <w:sz w:val="20"/>
          <w:szCs w:val="20"/>
        </w:rPr>
      </w:pPr>
    </w:p>
    <w:p w:rsidR="00A71FC9" w:rsidRDefault="00A71FC9" w:rsidP="0046646B">
      <w:pPr>
        <w:pStyle w:val="Paragraphestandard"/>
        <w:spacing w:line="240" w:lineRule="auto"/>
        <w:ind w:right="2266"/>
        <w:jc w:val="right"/>
        <w:rPr>
          <w:rFonts w:ascii="Arial" w:hAnsi="Arial" w:cs="DejaVuSansCondensed-Bold"/>
          <w:b/>
          <w:bCs/>
          <w:color w:val="E00736"/>
          <w:sz w:val="20"/>
          <w:szCs w:val="20"/>
        </w:rPr>
      </w:pPr>
      <w:r w:rsidRPr="00AA0301">
        <w:rPr>
          <w:rFonts w:ascii="Arial" w:hAnsi="Arial" w:cs="DejaVuSansCondensed-Bold"/>
          <w:b/>
          <w:bCs/>
          <w:color w:val="E00736"/>
          <w:sz w:val="20"/>
          <w:szCs w:val="20"/>
        </w:rPr>
        <w:t xml:space="preserve">Bordeaux, le </w:t>
      </w:r>
      <w:r w:rsidR="001E1140">
        <w:rPr>
          <w:rFonts w:ascii="Arial" w:hAnsi="Arial" w:cs="DejaVuSansCondensed-Bold"/>
          <w:b/>
          <w:bCs/>
          <w:color w:val="E00736"/>
          <w:sz w:val="20"/>
          <w:szCs w:val="20"/>
        </w:rPr>
        <w:t>13 février 2018</w:t>
      </w:r>
    </w:p>
    <w:p w:rsidR="000D5F61" w:rsidRDefault="000D5F61" w:rsidP="000D5F61">
      <w:pPr>
        <w:spacing w:after="0"/>
        <w:ind w:right="2125"/>
        <w:jc w:val="center"/>
        <w:rPr>
          <w:rFonts w:ascii="Arial" w:hAnsi="Arial" w:cs="Arial"/>
          <w:b/>
          <w:sz w:val="40"/>
          <w:szCs w:val="40"/>
        </w:rPr>
      </w:pPr>
    </w:p>
    <w:p w:rsidR="000D5F61" w:rsidRDefault="000D5F61" w:rsidP="001E1140">
      <w:pPr>
        <w:spacing w:after="0"/>
        <w:ind w:right="2125"/>
        <w:jc w:val="center"/>
        <w:rPr>
          <w:rFonts w:ascii="Arial" w:hAnsi="Arial" w:cs="Arial"/>
          <w:b/>
          <w:sz w:val="40"/>
          <w:szCs w:val="40"/>
        </w:rPr>
      </w:pPr>
      <w:r>
        <w:rPr>
          <w:rFonts w:ascii="Arial" w:hAnsi="Arial" w:cs="Arial"/>
          <w:b/>
          <w:sz w:val="40"/>
          <w:szCs w:val="40"/>
        </w:rPr>
        <w:t>Regain de l’activité économique</w:t>
      </w:r>
    </w:p>
    <w:p w:rsidR="005656CB" w:rsidRPr="00A8615D" w:rsidRDefault="000D5F61" w:rsidP="000D5F61">
      <w:pPr>
        <w:spacing w:after="0"/>
        <w:ind w:right="2125"/>
        <w:jc w:val="center"/>
        <w:rPr>
          <w:rFonts w:ascii="Arial" w:hAnsi="Arial" w:cs="Arial"/>
          <w:b/>
          <w:sz w:val="10"/>
          <w:szCs w:val="10"/>
        </w:rPr>
      </w:pPr>
      <w:proofErr w:type="gramStart"/>
      <w:r>
        <w:rPr>
          <w:rFonts w:ascii="Arial" w:hAnsi="Arial" w:cs="Arial"/>
          <w:b/>
          <w:sz w:val="40"/>
          <w:szCs w:val="40"/>
        </w:rPr>
        <w:t>au</w:t>
      </w:r>
      <w:proofErr w:type="gramEnd"/>
      <w:r>
        <w:rPr>
          <w:rFonts w:ascii="Arial" w:hAnsi="Arial" w:cs="Arial"/>
          <w:b/>
          <w:sz w:val="40"/>
          <w:szCs w:val="40"/>
        </w:rPr>
        <w:t xml:space="preserve"> second semestre 2017</w:t>
      </w:r>
    </w:p>
    <w:p w:rsidR="000D5F61" w:rsidRDefault="000D5F61" w:rsidP="000D5F61">
      <w:pPr>
        <w:spacing w:after="0"/>
        <w:ind w:right="2125"/>
        <w:jc w:val="both"/>
        <w:rPr>
          <w:rFonts w:ascii="Arial" w:hAnsi="Arial" w:cs="Arial"/>
          <w:b/>
          <w:sz w:val="22"/>
          <w:szCs w:val="22"/>
        </w:rPr>
      </w:pPr>
    </w:p>
    <w:p w:rsidR="004A0125" w:rsidRPr="004A0125" w:rsidRDefault="000D5F61" w:rsidP="004A0125">
      <w:pPr>
        <w:spacing w:after="0"/>
        <w:ind w:right="2125"/>
        <w:jc w:val="both"/>
        <w:rPr>
          <w:rFonts w:ascii="Arial" w:hAnsi="Arial" w:cs="Arial"/>
          <w:b/>
          <w:sz w:val="22"/>
          <w:szCs w:val="22"/>
        </w:rPr>
      </w:pPr>
      <w:r w:rsidRPr="004A0125">
        <w:rPr>
          <w:rFonts w:ascii="Arial" w:hAnsi="Arial" w:cs="Arial"/>
          <w:b/>
          <w:sz w:val="22"/>
          <w:szCs w:val="22"/>
        </w:rPr>
        <w:t>L</w:t>
      </w:r>
      <w:r w:rsidRPr="004A0125">
        <w:rPr>
          <w:rFonts w:ascii="Arial" w:hAnsi="Arial" w:cs="Arial"/>
          <w:b/>
          <w:sz w:val="22"/>
          <w:szCs w:val="22"/>
        </w:rPr>
        <w:t xml:space="preserve">a dynamique enclenchée </w:t>
      </w:r>
      <w:r w:rsidRPr="004A0125">
        <w:rPr>
          <w:rFonts w:ascii="Arial" w:hAnsi="Arial" w:cs="Arial"/>
          <w:b/>
          <w:sz w:val="22"/>
          <w:szCs w:val="22"/>
        </w:rPr>
        <w:t>e</w:t>
      </w:r>
      <w:r w:rsidRPr="004A0125">
        <w:rPr>
          <w:rFonts w:ascii="Arial" w:hAnsi="Arial" w:cs="Arial"/>
          <w:b/>
          <w:sz w:val="22"/>
          <w:szCs w:val="22"/>
        </w:rPr>
        <w:t>n Nouvelle-Aquitaine</w:t>
      </w:r>
      <w:r w:rsidRPr="004A0125">
        <w:rPr>
          <w:rFonts w:ascii="Arial" w:hAnsi="Arial" w:cs="Arial"/>
          <w:b/>
          <w:sz w:val="22"/>
          <w:szCs w:val="22"/>
        </w:rPr>
        <w:t xml:space="preserve"> </w:t>
      </w:r>
      <w:r w:rsidRPr="004A0125">
        <w:rPr>
          <w:rFonts w:ascii="Arial" w:hAnsi="Arial" w:cs="Arial"/>
          <w:b/>
          <w:sz w:val="22"/>
          <w:szCs w:val="22"/>
        </w:rPr>
        <w:t>au semes</w:t>
      </w:r>
      <w:r w:rsidRPr="004A0125">
        <w:rPr>
          <w:rFonts w:ascii="Arial" w:hAnsi="Arial" w:cs="Arial"/>
          <w:b/>
          <w:sz w:val="22"/>
          <w:szCs w:val="22"/>
        </w:rPr>
        <w:t xml:space="preserve">tre précédent s’est consolidée confirmant ainsi la confiance des dirigeants dans leur entreprise. Une croissance de l’activité portée </w:t>
      </w:r>
      <w:r w:rsidR="004A0125" w:rsidRPr="004A0125">
        <w:rPr>
          <w:rFonts w:ascii="Arial" w:hAnsi="Arial" w:cs="Arial"/>
          <w:b/>
          <w:sz w:val="22"/>
          <w:szCs w:val="22"/>
        </w:rPr>
        <w:t>par</w:t>
      </w:r>
      <w:r w:rsidRPr="004A0125">
        <w:rPr>
          <w:rFonts w:ascii="Arial" w:hAnsi="Arial" w:cs="Arial"/>
          <w:b/>
          <w:sz w:val="22"/>
          <w:szCs w:val="22"/>
        </w:rPr>
        <w:t xml:space="preserve"> tous les </w:t>
      </w:r>
      <w:r w:rsidR="004A0125" w:rsidRPr="004A0125">
        <w:rPr>
          <w:rFonts w:ascii="Arial" w:hAnsi="Arial" w:cs="Arial"/>
          <w:b/>
          <w:sz w:val="22"/>
          <w:szCs w:val="22"/>
        </w:rPr>
        <w:t xml:space="preserve">indicateurs : Chiffres d’Affaires, carnets de commandes ou investissements en forte hausse. Enquête </w:t>
      </w:r>
      <w:r w:rsidR="004A0125" w:rsidRPr="004A0125">
        <w:rPr>
          <w:rFonts w:ascii="Arial" w:hAnsi="Arial" w:cs="Arial"/>
          <w:b/>
          <w:sz w:val="22"/>
          <w:szCs w:val="22"/>
        </w:rPr>
        <w:t xml:space="preserve">de conjoncture semestrielle </w:t>
      </w:r>
      <w:r w:rsidR="004A0125">
        <w:rPr>
          <w:rFonts w:ascii="Arial" w:hAnsi="Arial" w:cs="Arial"/>
          <w:b/>
          <w:sz w:val="22"/>
          <w:szCs w:val="22"/>
        </w:rPr>
        <w:t>coordonnée</w:t>
      </w:r>
      <w:r w:rsidR="004A0125" w:rsidRPr="004A0125">
        <w:rPr>
          <w:rFonts w:ascii="Arial" w:hAnsi="Arial" w:cs="Arial"/>
          <w:b/>
          <w:sz w:val="22"/>
          <w:szCs w:val="22"/>
        </w:rPr>
        <w:t xml:space="preserve"> </w:t>
      </w:r>
      <w:r w:rsidR="004A0125">
        <w:rPr>
          <w:rFonts w:ascii="Arial" w:hAnsi="Arial" w:cs="Arial"/>
          <w:b/>
          <w:sz w:val="22"/>
          <w:szCs w:val="22"/>
        </w:rPr>
        <w:t xml:space="preserve">par la CCI Nouvelle aquitaine et réalisée </w:t>
      </w:r>
      <w:r w:rsidR="004A0125" w:rsidRPr="004A0125">
        <w:rPr>
          <w:rFonts w:ascii="Arial" w:hAnsi="Arial" w:cs="Arial"/>
          <w:b/>
          <w:sz w:val="22"/>
          <w:szCs w:val="22"/>
        </w:rPr>
        <w:t>auprès</w:t>
      </w:r>
      <w:r w:rsidR="004A0125" w:rsidRPr="004A0125">
        <w:rPr>
          <w:rFonts w:ascii="Arial" w:hAnsi="Arial" w:cs="Arial"/>
          <w:b/>
          <w:sz w:val="22"/>
          <w:szCs w:val="22"/>
        </w:rPr>
        <w:t xml:space="preserve"> de 4 000 chefs d’entreprise </w:t>
      </w:r>
      <w:r w:rsidR="004A0125" w:rsidRPr="004A0125">
        <w:rPr>
          <w:rFonts w:ascii="Arial" w:hAnsi="Arial" w:cs="Arial"/>
          <w:b/>
          <w:sz w:val="22"/>
          <w:szCs w:val="22"/>
        </w:rPr>
        <w:t xml:space="preserve">sur l’ensemble de </w:t>
      </w:r>
      <w:r w:rsidR="004A0125">
        <w:rPr>
          <w:rFonts w:ascii="Arial" w:hAnsi="Arial" w:cs="Arial"/>
          <w:b/>
          <w:sz w:val="22"/>
          <w:szCs w:val="22"/>
        </w:rPr>
        <w:t>notre territoire.</w:t>
      </w:r>
    </w:p>
    <w:p w:rsidR="000D5F61" w:rsidRDefault="000D5F61" w:rsidP="000D5F61">
      <w:pPr>
        <w:spacing w:after="0"/>
        <w:ind w:right="2125"/>
        <w:jc w:val="both"/>
        <w:rPr>
          <w:rFonts w:ascii="Arial" w:hAnsi="Arial" w:cs="Arial"/>
          <w:b/>
          <w:sz w:val="22"/>
          <w:szCs w:val="22"/>
        </w:rPr>
      </w:pPr>
    </w:p>
    <w:p w:rsidR="000D5F61" w:rsidRPr="000D5F61" w:rsidRDefault="004A0125" w:rsidP="000D5F61">
      <w:pPr>
        <w:spacing w:after="0"/>
        <w:ind w:right="2125"/>
        <w:jc w:val="both"/>
        <w:rPr>
          <w:rFonts w:ascii="Arial" w:hAnsi="Arial" w:cs="Arial"/>
          <w:sz w:val="22"/>
          <w:szCs w:val="22"/>
        </w:rPr>
      </w:pPr>
      <w:r>
        <w:rPr>
          <w:rFonts w:ascii="Arial" w:hAnsi="Arial" w:cs="Arial"/>
          <w:sz w:val="22"/>
          <w:szCs w:val="22"/>
        </w:rPr>
        <w:t>80% des</w:t>
      </w:r>
      <w:r w:rsidR="000D5F61" w:rsidRPr="004A0125">
        <w:rPr>
          <w:rFonts w:ascii="Arial" w:hAnsi="Arial" w:cs="Arial"/>
          <w:sz w:val="22"/>
          <w:szCs w:val="22"/>
        </w:rPr>
        <w:t xml:space="preserve"> chefs d’entreprise </w:t>
      </w:r>
      <w:r>
        <w:rPr>
          <w:rFonts w:ascii="Arial" w:hAnsi="Arial" w:cs="Arial"/>
          <w:sz w:val="22"/>
          <w:szCs w:val="22"/>
        </w:rPr>
        <w:t xml:space="preserve">interrogés </w:t>
      </w:r>
      <w:r w:rsidR="000D5F61" w:rsidRPr="004A0125">
        <w:rPr>
          <w:rFonts w:ascii="Arial" w:hAnsi="Arial" w:cs="Arial"/>
          <w:sz w:val="22"/>
          <w:szCs w:val="22"/>
        </w:rPr>
        <w:t>ont confirmé la reprise de l’activité observée au 1</w:t>
      </w:r>
      <w:r w:rsidR="000D5F61" w:rsidRPr="004A0125">
        <w:rPr>
          <w:rFonts w:ascii="Arial" w:hAnsi="Arial" w:cs="Arial"/>
          <w:sz w:val="22"/>
          <w:szCs w:val="22"/>
          <w:vertAlign w:val="superscript"/>
        </w:rPr>
        <w:t>er</w:t>
      </w:r>
      <w:r w:rsidR="000D5F61" w:rsidRPr="004A0125">
        <w:rPr>
          <w:rFonts w:ascii="Arial" w:hAnsi="Arial" w:cs="Arial"/>
          <w:sz w:val="22"/>
          <w:szCs w:val="22"/>
        </w:rPr>
        <w:t xml:space="preserve"> semestre 2017</w:t>
      </w:r>
      <w:r>
        <w:rPr>
          <w:rFonts w:ascii="Arial" w:hAnsi="Arial" w:cs="Arial"/>
          <w:sz w:val="22"/>
          <w:szCs w:val="22"/>
        </w:rPr>
        <w:t>. Une</w:t>
      </w:r>
      <w:r w:rsidR="000D5F61" w:rsidRPr="004A0125">
        <w:rPr>
          <w:rFonts w:ascii="Arial" w:hAnsi="Arial" w:cs="Arial"/>
          <w:sz w:val="22"/>
          <w:szCs w:val="22"/>
        </w:rPr>
        <w:t xml:space="preserve"> </w:t>
      </w:r>
      <w:r>
        <w:rPr>
          <w:rFonts w:ascii="Arial" w:hAnsi="Arial" w:cs="Arial"/>
          <w:sz w:val="22"/>
          <w:szCs w:val="22"/>
        </w:rPr>
        <w:t>confiance</w:t>
      </w:r>
      <w:r w:rsidR="000D5F61" w:rsidRPr="004A0125">
        <w:rPr>
          <w:rFonts w:ascii="Arial" w:hAnsi="Arial" w:cs="Arial"/>
          <w:sz w:val="22"/>
          <w:szCs w:val="22"/>
        </w:rPr>
        <w:t xml:space="preserve"> </w:t>
      </w:r>
      <w:r>
        <w:rPr>
          <w:rFonts w:ascii="Arial" w:hAnsi="Arial" w:cs="Arial"/>
          <w:sz w:val="22"/>
          <w:szCs w:val="22"/>
        </w:rPr>
        <w:t xml:space="preserve">qui </w:t>
      </w:r>
      <w:r w:rsidR="000D5F61" w:rsidRPr="004A0125">
        <w:rPr>
          <w:rFonts w:ascii="Arial" w:hAnsi="Arial" w:cs="Arial"/>
          <w:sz w:val="22"/>
          <w:szCs w:val="22"/>
        </w:rPr>
        <w:t>se tradu</w:t>
      </w:r>
      <w:r w:rsidR="003A23BE">
        <w:rPr>
          <w:rFonts w:ascii="Arial" w:hAnsi="Arial" w:cs="Arial"/>
          <w:sz w:val="22"/>
          <w:szCs w:val="22"/>
        </w:rPr>
        <w:t>it par le maintien ou le renforcement de l’emploi notamment dans l’industrie et les services et</w:t>
      </w:r>
      <w:r>
        <w:rPr>
          <w:rFonts w:ascii="Arial" w:hAnsi="Arial" w:cs="Arial"/>
          <w:sz w:val="22"/>
          <w:szCs w:val="22"/>
        </w:rPr>
        <w:t xml:space="preserve"> </w:t>
      </w:r>
      <w:r w:rsidR="003A23BE">
        <w:rPr>
          <w:rFonts w:ascii="Arial" w:hAnsi="Arial" w:cs="Arial"/>
          <w:sz w:val="22"/>
          <w:szCs w:val="22"/>
        </w:rPr>
        <w:t xml:space="preserve">des </w:t>
      </w:r>
      <w:r w:rsidR="003A23BE" w:rsidRPr="004A0125">
        <w:rPr>
          <w:rFonts w:ascii="Arial" w:hAnsi="Arial" w:cs="Arial"/>
          <w:sz w:val="22"/>
          <w:szCs w:val="22"/>
        </w:rPr>
        <w:t>investissements</w:t>
      </w:r>
      <w:r w:rsidR="000D5F61" w:rsidRPr="004A0125">
        <w:rPr>
          <w:rFonts w:ascii="Arial" w:hAnsi="Arial" w:cs="Arial"/>
          <w:sz w:val="22"/>
          <w:szCs w:val="22"/>
        </w:rPr>
        <w:t xml:space="preserve"> qui ont </w:t>
      </w:r>
      <w:r w:rsidR="000D5F61" w:rsidRPr="004A0125">
        <w:rPr>
          <w:rFonts w:ascii="Arial" w:hAnsi="Arial" w:cs="Arial"/>
          <w:sz w:val="22"/>
          <w:szCs w:val="22"/>
        </w:rPr>
        <w:t>concerné davantage d’entreprises (36 % contre 32 % les 2 semestres précédents).</w:t>
      </w:r>
      <w:r w:rsidR="003A23BE">
        <w:rPr>
          <w:rFonts w:ascii="Arial" w:hAnsi="Arial" w:cs="Arial"/>
          <w:sz w:val="22"/>
          <w:szCs w:val="22"/>
        </w:rPr>
        <w:t xml:space="preserve"> </w:t>
      </w:r>
      <w:r w:rsidR="000D5F61" w:rsidRPr="000D5F61">
        <w:rPr>
          <w:rFonts w:ascii="Arial" w:hAnsi="Arial" w:cs="Arial"/>
          <w:sz w:val="22"/>
          <w:szCs w:val="22"/>
        </w:rPr>
        <w:t xml:space="preserve">Les chiffres d’affaires sont </w:t>
      </w:r>
      <w:r w:rsidR="003A23BE">
        <w:rPr>
          <w:rFonts w:ascii="Arial" w:hAnsi="Arial" w:cs="Arial"/>
          <w:sz w:val="22"/>
          <w:szCs w:val="22"/>
        </w:rPr>
        <w:t xml:space="preserve">également en hausse et </w:t>
      </w:r>
      <w:r w:rsidR="000D5F61" w:rsidRPr="000D5F61">
        <w:rPr>
          <w:rFonts w:ascii="Arial" w:hAnsi="Arial" w:cs="Arial"/>
          <w:sz w:val="22"/>
          <w:szCs w:val="22"/>
        </w:rPr>
        <w:t>les carnets</w:t>
      </w:r>
      <w:r w:rsidR="003A23BE">
        <w:rPr>
          <w:rFonts w:ascii="Arial" w:hAnsi="Arial" w:cs="Arial"/>
          <w:sz w:val="22"/>
          <w:szCs w:val="22"/>
        </w:rPr>
        <w:t xml:space="preserve"> de commandes sont bien remplis</w:t>
      </w:r>
      <w:r w:rsidR="000D5F61" w:rsidRPr="000D5F61">
        <w:rPr>
          <w:rFonts w:ascii="Arial" w:hAnsi="Arial" w:cs="Arial"/>
          <w:sz w:val="22"/>
          <w:szCs w:val="22"/>
        </w:rPr>
        <w:t xml:space="preserve">. Des indicateurs positifs que les chefs d’entreprise n’avaient pas </w:t>
      </w:r>
      <w:r w:rsidR="003A23BE" w:rsidRPr="000D5F61">
        <w:rPr>
          <w:rFonts w:ascii="Arial" w:hAnsi="Arial" w:cs="Arial"/>
          <w:sz w:val="22"/>
          <w:szCs w:val="22"/>
        </w:rPr>
        <w:t>exprimés</w:t>
      </w:r>
      <w:r w:rsidR="000D5F61" w:rsidRPr="000D5F61">
        <w:rPr>
          <w:rFonts w:ascii="Arial" w:hAnsi="Arial" w:cs="Arial"/>
          <w:sz w:val="22"/>
          <w:szCs w:val="22"/>
        </w:rPr>
        <w:t xml:space="preserve"> depuis 2011</w:t>
      </w:r>
      <w:r w:rsidR="003A23BE">
        <w:rPr>
          <w:rFonts w:ascii="Arial" w:hAnsi="Arial" w:cs="Arial"/>
          <w:sz w:val="22"/>
          <w:szCs w:val="22"/>
        </w:rPr>
        <w:t>.</w:t>
      </w:r>
      <w:r w:rsidR="000D5F61" w:rsidRPr="000D5F61">
        <w:rPr>
          <w:rFonts w:ascii="Arial" w:hAnsi="Arial" w:cs="Arial"/>
          <w:sz w:val="22"/>
          <w:szCs w:val="22"/>
        </w:rPr>
        <w:t xml:space="preserve"> </w:t>
      </w:r>
    </w:p>
    <w:p w:rsidR="003A23BE" w:rsidRDefault="003A23BE" w:rsidP="000D5F61">
      <w:pPr>
        <w:spacing w:after="0"/>
        <w:ind w:right="2125"/>
        <w:jc w:val="both"/>
        <w:rPr>
          <w:rFonts w:ascii="Arial" w:hAnsi="Arial" w:cs="Arial"/>
          <w:sz w:val="22"/>
          <w:szCs w:val="22"/>
        </w:rPr>
      </w:pPr>
    </w:p>
    <w:p w:rsidR="00973099" w:rsidRPr="00973099" w:rsidRDefault="00973099" w:rsidP="000D5F61">
      <w:pPr>
        <w:spacing w:after="0"/>
        <w:ind w:right="2125"/>
        <w:jc w:val="both"/>
        <w:rPr>
          <w:rFonts w:ascii="Arial" w:hAnsi="Arial" w:cs="Arial"/>
          <w:b/>
          <w:sz w:val="22"/>
          <w:szCs w:val="22"/>
        </w:rPr>
      </w:pPr>
      <w:r>
        <w:rPr>
          <w:rFonts w:ascii="Arial" w:hAnsi="Arial" w:cs="Arial"/>
          <w:b/>
          <w:sz w:val="22"/>
          <w:szCs w:val="22"/>
        </w:rPr>
        <w:t>Des i</w:t>
      </w:r>
      <w:r w:rsidRPr="00973099">
        <w:rPr>
          <w:rFonts w:ascii="Arial" w:hAnsi="Arial" w:cs="Arial"/>
          <w:b/>
          <w:sz w:val="22"/>
          <w:szCs w:val="22"/>
        </w:rPr>
        <w:t>ndicateurs au vert</w:t>
      </w:r>
    </w:p>
    <w:p w:rsidR="000D5F61" w:rsidRPr="00461293" w:rsidRDefault="000D5F61" w:rsidP="000D5F61">
      <w:pPr>
        <w:spacing w:after="0"/>
        <w:ind w:right="2125"/>
        <w:jc w:val="both"/>
        <w:rPr>
          <w:rFonts w:ascii="Arial" w:hAnsi="Arial" w:cs="Arial"/>
          <w:sz w:val="22"/>
          <w:szCs w:val="22"/>
        </w:rPr>
      </w:pPr>
      <w:r w:rsidRPr="00461293">
        <w:rPr>
          <w:rFonts w:ascii="Arial" w:hAnsi="Arial" w:cs="Arial"/>
          <w:sz w:val="22"/>
          <w:szCs w:val="22"/>
        </w:rPr>
        <w:t>Ce regain d’activité concerne tous les secteurs d’activités, en particulier les services mais aussi l’activité industrielle. Le commerce de détail renoue avec la croissance sous l’effet de la reprise de la consommation. Le semestre est satisfaisant pour toute la branche construction, légèrement plus difficile encore pour le génie civil</w:t>
      </w:r>
      <w:r w:rsidR="00461293" w:rsidRPr="00461293">
        <w:rPr>
          <w:rFonts w:ascii="Arial" w:hAnsi="Arial" w:cs="Arial"/>
          <w:sz w:val="22"/>
          <w:szCs w:val="22"/>
        </w:rPr>
        <w:t>.</w:t>
      </w:r>
    </w:p>
    <w:p w:rsidR="00461293" w:rsidRPr="000D5F61" w:rsidRDefault="00461293" w:rsidP="000D5F61">
      <w:pPr>
        <w:spacing w:after="0"/>
        <w:ind w:right="2125"/>
        <w:jc w:val="both"/>
        <w:rPr>
          <w:rFonts w:ascii="Arial" w:hAnsi="Arial" w:cs="Arial"/>
          <w:sz w:val="22"/>
          <w:szCs w:val="22"/>
        </w:rPr>
      </w:pPr>
    </w:p>
    <w:p w:rsidR="000D5F61" w:rsidRPr="00461293" w:rsidRDefault="00973099" w:rsidP="000D5F61">
      <w:pPr>
        <w:spacing w:after="0"/>
        <w:ind w:right="2125"/>
        <w:jc w:val="both"/>
        <w:rPr>
          <w:rFonts w:ascii="Arial" w:hAnsi="Arial" w:cs="Arial"/>
          <w:sz w:val="22"/>
          <w:szCs w:val="22"/>
        </w:rPr>
      </w:pPr>
      <w:r>
        <w:rPr>
          <w:rFonts w:ascii="Arial" w:hAnsi="Arial" w:cs="Arial"/>
          <w:sz w:val="22"/>
          <w:szCs w:val="22"/>
        </w:rPr>
        <w:t>Mais s</w:t>
      </w:r>
      <w:r w:rsidR="00461293" w:rsidRPr="00461293">
        <w:rPr>
          <w:rFonts w:ascii="Arial" w:hAnsi="Arial" w:cs="Arial"/>
          <w:sz w:val="22"/>
          <w:szCs w:val="22"/>
        </w:rPr>
        <w:t>i c</w:t>
      </w:r>
      <w:r w:rsidR="000D5F61" w:rsidRPr="00461293">
        <w:rPr>
          <w:rFonts w:ascii="Arial" w:hAnsi="Arial" w:cs="Arial"/>
          <w:sz w:val="22"/>
          <w:szCs w:val="22"/>
        </w:rPr>
        <w:t>ette dynamique</w:t>
      </w:r>
      <w:r w:rsidR="00461293" w:rsidRPr="00461293">
        <w:rPr>
          <w:rFonts w:ascii="Arial" w:hAnsi="Arial" w:cs="Arial"/>
          <w:sz w:val="22"/>
          <w:szCs w:val="22"/>
        </w:rPr>
        <w:t xml:space="preserve"> exprimée peut laisser présager d</w:t>
      </w:r>
      <w:r w:rsidR="000D5F61" w:rsidRPr="00461293">
        <w:rPr>
          <w:rFonts w:ascii="Arial" w:hAnsi="Arial" w:cs="Arial"/>
          <w:sz w:val="22"/>
          <w:szCs w:val="22"/>
        </w:rPr>
        <w:t>es perspectives très encourageantes</w:t>
      </w:r>
      <w:r w:rsidR="001E1140">
        <w:rPr>
          <w:rFonts w:ascii="Arial" w:hAnsi="Arial" w:cs="Arial"/>
          <w:sz w:val="22"/>
          <w:szCs w:val="22"/>
        </w:rPr>
        <w:t> (m</w:t>
      </w:r>
      <w:r w:rsidR="000D5F61" w:rsidRPr="00461293">
        <w:rPr>
          <w:rFonts w:ascii="Arial" w:hAnsi="Arial" w:cs="Arial"/>
          <w:sz w:val="22"/>
          <w:szCs w:val="22"/>
        </w:rPr>
        <w:t xml:space="preserve">oins d’une entreprise sur </w:t>
      </w:r>
      <w:r w:rsidR="001E1140">
        <w:rPr>
          <w:rFonts w:ascii="Arial" w:hAnsi="Arial" w:cs="Arial"/>
          <w:sz w:val="22"/>
          <w:szCs w:val="22"/>
        </w:rPr>
        <w:t>dix,</w:t>
      </w:r>
      <w:r w:rsidR="000D5F61" w:rsidRPr="00461293">
        <w:rPr>
          <w:rFonts w:ascii="Arial" w:hAnsi="Arial" w:cs="Arial"/>
          <w:sz w:val="22"/>
          <w:szCs w:val="22"/>
        </w:rPr>
        <w:t xml:space="preserve"> </w:t>
      </w:r>
      <w:r w:rsidR="001E1140">
        <w:rPr>
          <w:rFonts w:ascii="Arial" w:hAnsi="Arial" w:cs="Arial"/>
          <w:sz w:val="22"/>
          <w:szCs w:val="22"/>
        </w:rPr>
        <w:t xml:space="preserve">mise </w:t>
      </w:r>
      <w:r w:rsidR="000D5F61" w:rsidRPr="00461293">
        <w:rPr>
          <w:rFonts w:ascii="Arial" w:hAnsi="Arial" w:cs="Arial"/>
          <w:sz w:val="22"/>
          <w:szCs w:val="22"/>
        </w:rPr>
        <w:t>sur une dégradation de son CA e</w:t>
      </w:r>
      <w:r w:rsidR="00461293" w:rsidRPr="00461293">
        <w:rPr>
          <w:rFonts w:ascii="Arial" w:hAnsi="Arial" w:cs="Arial"/>
          <w:sz w:val="22"/>
          <w:szCs w:val="22"/>
        </w:rPr>
        <w:t>t carnets de commande pour 2018</w:t>
      </w:r>
      <w:r w:rsidR="001E1140">
        <w:rPr>
          <w:rFonts w:ascii="Arial" w:hAnsi="Arial" w:cs="Arial"/>
          <w:sz w:val="22"/>
          <w:szCs w:val="22"/>
        </w:rPr>
        <w:t>)</w:t>
      </w:r>
      <w:r w:rsidR="00461293" w:rsidRPr="00461293">
        <w:rPr>
          <w:rFonts w:ascii="Arial" w:hAnsi="Arial" w:cs="Arial"/>
          <w:sz w:val="22"/>
          <w:szCs w:val="22"/>
        </w:rPr>
        <w:t xml:space="preserve">, </w:t>
      </w:r>
      <w:r w:rsidR="000D5F61" w:rsidRPr="00461293">
        <w:rPr>
          <w:rFonts w:ascii="Arial" w:hAnsi="Arial" w:cs="Arial"/>
          <w:sz w:val="22"/>
          <w:szCs w:val="22"/>
        </w:rPr>
        <w:t>la situation financière reste encore fragile</w:t>
      </w:r>
      <w:r w:rsidR="00461293" w:rsidRPr="00461293">
        <w:rPr>
          <w:rFonts w:ascii="Arial" w:hAnsi="Arial" w:cs="Arial"/>
          <w:sz w:val="22"/>
          <w:szCs w:val="22"/>
        </w:rPr>
        <w:t>.</w:t>
      </w:r>
      <w:r w:rsidR="000D5F61" w:rsidRPr="00461293">
        <w:rPr>
          <w:rFonts w:ascii="Arial" w:hAnsi="Arial" w:cs="Arial"/>
          <w:sz w:val="22"/>
          <w:szCs w:val="22"/>
        </w:rPr>
        <w:t xml:space="preserve"> </w:t>
      </w:r>
      <w:r w:rsidR="00461293" w:rsidRPr="00461293">
        <w:rPr>
          <w:rFonts w:ascii="Arial" w:hAnsi="Arial" w:cs="Arial"/>
          <w:sz w:val="22"/>
          <w:szCs w:val="22"/>
        </w:rPr>
        <w:t>Pour preuve, la</w:t>
      </w:r>
      <w:r w:rsidR="000D5F61" w:rsidRPr="00461293">
        <w:rPr>
          <w:rFonts w:ascii="Arial" w:hAnsi="Arial" w:cs="Arial"/>
          <w:sz w:val="22"/>
          <w:szCs w:val="22"/>
        </w:rPr>
        <w:t xml:space="preserve"> trésorerie et les marges peinent toujours à sortir du rouge, même si elles sont en forte voie de stabilisation.</w:t>
      </w:r>
    </w:p>
    <w:p w:rsidR="00461293" w:rsidRDefault="00461293" w:rsidP="000D5F61">
      <w:pPr>
        <w:spacing w:after="0"/>
        <w:ind w:right="2125"/>
        <w:jc w:val="both"/>
        <w:rPr>
          <w:rFonts w:ascii="Arial" w:hAnsi="Arial" w:cs="Arial"/>
          <w:b/>
          <w:sz w:val="22"/>
          <w:szCs w:val="22"/>
        </w:rPr>
      </w:pPr>
    </w:p>
    <w:p w:rsidR="00973099" w:rsidRDefault="00973099" w:rsidP="000D5F61">
      <w:pPr>
        <w:spacing w:after="0"/>
        <w:ind w:right="2125"/>
        <w:jc w:val="both"/>
        <w:rPr>
          <w:rFonts w:ascii="Arial" w:hAnsi="Arial" w:cs="Arial"/>
          <w:b/>
          <w:sz w:val="22"/>
          <w:szCs w:val="22"/>
        </w:rPr>
      </w:pPr>
      <w:r>
        <w:rPr>
          <w:rFonts w:ascii="Arial" w:hAnsi="Arial" w:cs="Arial"/>
          <w:b/>
          <w:sz w:val="22"/>
          <w:szCs w:val="22"/>
        </w:rPr>
        <w:t>Des tendances à la hausse sur tous les territoires</w:t>
      </w:r>
    </w:p>
    <w:p w:rsidR="000D5F61" w:rsidRPr="000D5F61" w:rsidRDefault="000D5F61" w:rsidP="000D5F61">
      <w:pPr>
        <w:spacing w:after="0"/>
        <w:ind w:right="2125"/>
        <w:jc w:val="both"/>
        <w:rPr>
          <w:rFonts w:ascii="Arial" w:hAnsi="Arial" w:cs="Arial"/>
          <w:b/>
          <w:sz w:val="22"/>
          <w:szCs w:val="22"/>
        </w:rPr>
      </w:pPr>
      <w:r w:rsidRPr="001E1140">
        <w:rPr>
          <w:rFonts w:ascii="Arial" w:hAnsi="Arial" w:cs="Arial"/>
          <w:sz w:val="22"/>
          <w:szCs w:val="22"/>
        </w:rPr>
        <w:t>Tous les territoires s’inscrivent dans cette tendance</w:t>
      </w:r>
      <w:r w:rsidR="001E1140">
        <w:rPr>
          <w:rFonts w:ascii="Arial" w:hAnsi="Arial" w:cs="Arial"/>
          <w:sz w:val="22"/>
          <w:szCs w:val="22"/>
        </w:rPr>
        <w:t xml:space="preserve"> </w:t>
      </w:r>
      <w:r w:rsidRPr="001E1140">
        <w:rPr>
          <w:rFonts w:ascii="Arial" w:hAnsi="Arial" w:cs="Arial"/>
          <w:sz w:val="22"/>
          <w:szCs w:val="22"/>
        </w:rPr>
        <w:t>:</w:t>
      </w:r>
      <w:r w:rsidRPr="000D5F61">
        <w:rPr>
          <w:rFonts w:ascii="Arial" w:hAnsi="Arial" w:cs="Arial"/>
          <w:sz w:val="22"/>
          <w:szCs w:val="22"/>
        </w:rPr>
        <w:t xml:space="preserve"> les indicateurs de chiffres d’affaires, de carnets de commandes, d’investissements le montrent.</w:t>
      </w:r>
      <w:r w:rsidR="001E1140">
        <w:rPr>
          <w:rFonts w:ascii="Arial" w:hAnsi="Arial" w:cs="Arial"/>
          <w:b/>
          <w:sz w:val="22"/>
          <w:szCs w:val="22"/>
        </w:rPr>
        <w:t xml:space="preserve"> </w:t>
      </w:r>
      <w:r w:rsidRPr="000D5F61">
        <w:rPr>
          <w:rFonts w:ascii="Arial" w:hAnsi="Arial" w:cs="Arial"/>
          <w:sz w:val="22"/>
          <w:szCs w:val="22"/>
        </w:rPr>
        <w:t xml:space="preserve">Mais, les résultats financiers </w:t>
      </w:r>
      <w:bookmarkStart w:id="0" w:name="_GoBack"/>
      <w:bookmarkEnd w:id="0"/>
      <w:r w:rsidR="001E1140">
        <w:rPr>
          <w:rFonts w:ascii="Arial" w:hAnsi="Arial" w:cs="Arial"/>
          <w:sz w:val="22"/>
          <w:szCs w:val="22"/>
        </w:rPr>
        <w:t>présentent</w:t>
      </w:r>
      <w:r w:rsidRPr="000D5F61">
        <w:rPr>
          <w:rFonts w:ascii="Arial" w:hAnsi="Arial" w:cs="Arial"/>
          <w:sz w:val="22"/>
          <w:szCs w:val="22"/>
        </w:rPr>
        <w:t xml:space="preserve"> des fragilités dans les territoires de l’est de la Nouvelle-Aquitaine (Creuse, Corrèze, Haute-Vienne) ainsi que dans les Deux-Sèvres.</w:t>
      </w:r>
    </w:p>
    <w:p w:rsidR="001E1140" w:rsidRDefault="001E1140" w:rsidP="000D5F61">
      <w:pPr>
        <w:spacing w:after="0"/>
        <w:ind w:right="2125"/>
        <w:jc w:val="both"/>
        <w:rPr>
          <w:rFonts w:ascii="Arial" w:hAnsi="Arial" w:cs="Arial"/>
          <w:sz w:val="22"/>
          <w:szCs w:val="22"/>
        </w:rPr>
      </w:pPr>
    </w:p>
    <w:p w:rsidR="000D5F61" w:rsidRPr="000D5F61" w:rsidRDefault="000D5F61" w:rsidP="000D5F61">
      <w:pPr>
        <w:spacing w:after="0"/>
        <w:ind w:right="2125"/>
        <w:jc w:val="both"/>
        <w:rPr>
          <w:rFonts w:ascii="Arial" w:hAnsi="Arial" w:cs="Arial"/>
          <w:b/>
          <w:sz w:val="22"/>
          <w:szCs w:val="22"/>
        </w:rPr>
      </w:pPr>
      <w:r w:rsidRPr="000D5F61">
        <w:rPr>
          <w:rFonts w:ascii="Arial" w:hAnsi="Arial" w:cs="Arial"/>
          <w:sz w:val="22"/>
          <w:szCs w:val="22"/>
        </w:rPr>
        <w:t>Cette situation différenciée se retrouve dans la confiance des chefs d’entreprise qui est la plus élevée dans le département de la métropole régionale et des départements de la façade atlantique et la plus faible dans les territoires de l’Est de la Nouvelle-Aquitaine.</w:t>
      </w:r>
    </w:p>
    <w:p w:rsidR="001E1140" w:rsidRDefault="001E1140" w:rsidP="000D5F61">
      <w:pPr>
        <w:rPr>
          <w:rFonts w:ascii="Arial" w:hAnsi="Arial" w:cs="Arial"/>
          <w:b/>
          <w:sz w:val="22"/>
          <w:szCs w:val="22"/>
        </w:rPr>
      </w:pPr>
    </w:p>
    <w:p w:rsidR="00A8615D" w:rsidRPr="001E1140" w:rsidRDefault="001E1140" w:rsidP="001E1140">
      <w:pPr>
        <w:rPr>
          <w:rFonts w:ascii="Arial" w:hAnsi="Arial" w:cs="Arial"/>
          <w:b/>
          <w:sz w:val="22"/>
          <w:szCs w:val="22"/>
        </w:rPr>
      </w:pPr>
      <w:r>
        <w:rPr>
          <w:rFonts w:ascii="Arial" w:hAnsi="Arial" w:cs="Arial"/>
          <w:b/>
          <w:sz w:val="22"/>
          <w:szCs w:val="22"/>
        </w:rPr>
        <w:t>Retrouvez l’ensemble des résultats en cliquant ici</w:t>
      </w:r>
    </w:p>
    <w:sectPr w:rsidR="00A8615D" w:rsidRPr="001E1140" w:rsidSect="00650412">
      <w:headerReference w:type="default" r:id="rId8"/>
      <w:footerReference w:type="default" r:id="rId9"/>
      <w:pgSz w:w="11906" w:h="16838"/>
      <w:pgMar w:top="1134" w:right="1134" w:bottom="567"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412" w:rsidRDefault="00650412" w:rsidP="00A71FC9">
      <w:pPr>
        <w:spacing w:after="0"/>
      </w:pPr>
      <w:r>
        <w:separator/>
      </w:r>
    </w:p>
  </w:endnote>
  <w:endnote w:type="continuationSeparator" w:id="0">
    <w:p w:rsidR="00650412" w:rsidRDefault="00650412" w:rsidP="00A7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jaVuSansCondensed-Bold">
    <w:altName w:val="DejaVu Sans Condense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412" w:rsidRPr="0065045C" w:rsidRDefault="00650412" w:rsidP="00650412">
    <w:pPr>
      <w:spacing w:after="0"/>
      <w:ind w:right="2125"/>
      <w:jc w:val="both"/>
      <w:rPr>
        <w:rFonts w:ascii="Arial" w:hAnsi="Arial" w:cs="Arial"/>
        <w:b/>
        <w:caps/>
        <w:sz w:val="22"/>
        <w:szCs w:val="22"/>
      </w:rPr>
    </w:pPr>
    <w:r w:rsidRPr="0065045C">
      <w:rPr>
        <w:rFonts w:ascii="Arial" w:hAnsi="Arial" w:cs="Arial"/>
        <w:b/>
        <w:bCs/>
        <w:caps/>
        <w:sz w:val="22"/>
        <w:szCs w:val="22"/>
        <w:u w:val="single"/>
      </w:rPr>
      <w:t>Votre contact presse</w:t>
    </w:r>
    <w:r w:rsidRPr="0065045C">
      <w:rPr>
        <w:rFonts w:ascii="Arial" w:hAnsi="Arial" w:cs="Arial"/>
        <w:b/>
        <w:bCs/>
        <w:caps/>
        <w:sz w:val="22"/>
        <w:szCs w:val="22"/>
      </w:rPr>
      <w:t xml:space="preserve"> </w:t>
    </w:r>
  </w:p>
  <w:p w:rsidR="00650412" w:rsidRPr="0065045C" w:rsidRDefault="00650412" w:rsidP="00650412">
    <w:pPr>
      <w:pStyle w:val="Paragraphestandard"/>
      <w:suppressAutoHyphens/>
      <w:spacing w:line="240" w:lineRule="auto"/>
      <w:ind w:right="3117"/>
      <w:rPr>
        <w:rFonts w:ascii="Arial" w:hAnsi="Arial" w:cs="Arial"/>
        <w:color w:val="auto"/>
        <w:sz w:val="22"/>
        <w:szCs w:val="22"/>
      </w:rPr>
    </w:pPr>
    <w:r w:rsidRPr="0065045C">
      <w:rPr>
        <w:rFonts w:ascii="Arial" w:hAnsi="Arial" w:cs="Arial"/>
        <w:color w:val="auto"/>
        <w:sz w:val="22"/>
        <w:szCs w:val="22"/>
      </w:rPr>
      <w:t xml:space="preserve">Philippe GARCIA Tél. : </w:t>
    </w:r>
    <w:r w:rsidR="009E682E">
      <w:rPr>
        <w:rFonts w:ascii="Arial" w:hAnsi="Arial" w:cs="Arial"/>
        <w:color w:val="auto"/>
        <w:sz w:val="22"/>
        <w:szCs w:val="22"/>
      </w:rPr>
      <w:t>06 20 63 53 83</w:t>
    </w:r>
    <w:r w:rsidRPr="0065045C">
      <w:rPr>
        <w:rFonts w:ascii="Arial" w:hAnsi="Arial" w:cs="Arial"/>
        <w:color w:val="auto"/>
        <w:sz w:val="22"/>
        <w:szCs w:val="22"/>
      </w:rPr>
      <w:t xml:space="preserve"> / Fax : 05 56 79 52 66</w:t>
    </w:r>
  </w:p>
  <w:p w:rsidR="00650412" w:rsidRPr="0065045C" w:rsidRDefault="00650412" w:rsidP="00650412">
    <w:pPr>
      <w:pStyle w:val="Paragraphestandard"/>
      <w:suppressAutoHyphens/>
      <w:spacing w:line="240" w:lineRule="auto"/>
      <w:ind w:right="3117"/>
      <w:rPr>
        <w:rFonts w:ascii="Arial" w:hAnsi="Arial" w:cs="Arial"/>
        <w:color w:val="auto"/>
        <w:sz w:val="22"/>
        <w:szCs w:val="22"/>
      </w:rPr>
    </w:pPr>
    <w:r w:rsidRPr="0065045C">
      <w:rPr>
        <w:rFonts w:ascii="Arial" w:hAnsi="Arial" w:cs="Arial"/>
        <w:color w:val="auto"/>
        <w:sz w:val="22"/>
        <w:szCs w:val="22"/>
      </w:rPr>
      <w:t xml:space="preserve">E-mail : </w:t>
    </w:r>
    <w:hyperlink r:id="rId1" w:history="1">
      <w:r w:rsidR="001E1140" w:rsidRPr="00BB35C9">
        <w:rPr>
          <w:rStyle w:val="Lienhypertexte"/>
          <w:rFonts w:ascii="Arial" w:hAnsi="Arial" w:cs="Arial"/>
          <w:sz w:val="22"/>
          <w:szCs w:val="22"/>
        </w:rPr>
        <w:t>pgarcia@bordeauxgironde.cci.fr</w:t>
      </w:r>
    </w:hyperlink>
  </w:p>
  <w:p w:rsidR="00650412" w:rsidRDefault="00045372">
    <w:pPr>
      <w:pStyle w:val="Pieddepage"/>
    </w:pPr>
    <w:r>
      <w:rPr>
        <w:noProof/>
        <w:lang w:eastAsia="fr-FR"/>
      </w:rPr>
      <w:pict>
        <v:shapetype id="_x0000_t32" coordsize="21600,21600" o:spt="32" o:oned="t" path="m,l21600,21600e" filled="f">
          <v:path arrowok="t" fillok="f" o:connecttype="none"/>
          <o:lock v:ext="edit" shapetype="t"/>
        </v:shapetype>
        <v:shape id="AutoShape 1" o:spid="_x0000_s4097" type="#_x0000_t32" style="position:absolute;margin-left:-2.4pt;margin-top:.2pt;width:401.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HxIgIAADwEAAAOAAAAZHJzL2Uyb0RvYy54bWysU9uO2yAQfa/Uf0C8J7ZTJ5tYcVYrO+nL&#10;thtptx9AANuoGBCQOFHVf+9ALm3al6rqCwbPzJnLObN8PPYSHbh1QqsSZ+MUI66oZkK1Jf7ythnN&#10;MXKeKEakVrzEJ+7w4+r9u+VgCj7RnZaMWwQgyhWDKXHnvSmSxNGO98SNteEKjI22PfHwtG3CLBkA&#10;vZfJJE1nyaAtM1ZT7hz8rc9GvIr4TcOpf2kaxz2SJYbafDxtPHfhTFZLUrSWmE7QSxnkH6roiVCQ&#10;9AZVE0/Q3oo/oHpBrXa68WOq+0Q3jaA89gDdZOlv3bx2xPDYCwzHmduY3P+DpZ8PW4sEA+4wUqQH&#10;ip72XsfMKAvjGYwrwKtSWxsapEf1ap41/eqQ0lVHVMuj89vJQGyMSO5CwsMZSLIbPmkGPgTw46yO&#10;je0DJEwBHSMlpxsl/OgRhZ/TdDGd5MAcvdoSUlwDjXX+I9c9CpcSO2+JaDtfaaWAeG2zmIYcnp2H&#10;RiDwGhCyKr0RUkb+pUJDiSfz6cM0RjgtBQvW4Odsu6ukRQcCEqpBc/ksjAXQ7tys3isW0TpO2Ppy&#10;90TI8x38pQp40BnUc7mdNfJtkS7W8/U8H+WT2XqUp3U9etpU+Wi2yR6m9Ye6qurseygty4tOMMZV&#10;qO6q1yz/Oz1cNuestJtib3NI7tFji1Ds9RuLjtQGNs+62Gl22towjcAySDQ6X9Yp7MCv7+j1c+lX&#10;PwAAAP//AwBQSwMEFAAGAAgAAAAhAE9oy0HaAAAABAEAAA8AAABkcnMvZG93bnJldi54bWxMzjFv&#10;wjAQBeC9Ev/BOqRu4IAQlDQOQkhtp6oqdGA84msSsM9RbJK0v75mKuPTO737ss1gjeio9bVjBbNp&#10;AoK4cLrmUsHX4WXyBMIHZI3GMSn4IQ+bfPSQYapdz5/U7UMp4gj7FBVUITSplL6oyKKfuoY4dt+u&#10;tRhibEupW+zjuDVyniRLabHm+KHChnYVFZf91Sp4M++HNfd4xMJtZ9Qdz8nrx69Sj+Nh+wwi0BD+&#10;j+HGj3TIo+nkrqy9MAomiygPChYgYrtar5YgTrco80ze4/M/AAAA//8DAFBLAQItABQABgAIAAAA&#10;IQC2gziS/gAAAOEBAAATAAAAAAAAAAAAAAAAAAAAAABbQ29udGVudF9UeXBlc10ueG1sUEsBAi0A&#10;FAAGAAgAAAAhADj9If/WAAAAlAEAAAsAAAAAAAAAAAAAAAAALwEAAF9yZWxzLy5yZWxzUEsBAi0A&#10;FAAGAAgAAAAhACohkfEiAgAAPAQAAA4AAAAAAAAAAAAAAAAALgIAAGRycy9lMm9Eb2MueG1sUEsB&#10;Ai0AFAAGAAgAAAAhAE9oy0HaAAAABAEAAA8AAAAAAAAAAAAAAAAAfAQAAGRycy9kb3ducmV2Lnht&#10;bFBLBQYAAAAABAAEAPMAAACDBQAAAAA=&#10;" strokecolor="#d20046" strokeweight="2.25p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412" w:rsidRDefault="00650412" w:rsidP="00A71FC9">
      <w:pPr>
        <w:spacing w:after="0"/>
      </w:pPr>
      <w:r>
        <w:separator/>
      </w:r>
    </w:p>
  </w:footnote>
  <w:footnote w:type="continuationSeparator" w:id="0">
    <w:p w:rsidR="00650412" w:rsidRDefault="00650412" w:rsidP="00A71F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412" w:rsidRDefault="00650412">
    <w:pPr>
      <w:pStyle w:val="En-tte"/>
    </w:pPr>
    <w:r>
      <w:rPr>
        <w:noProof/>
        <w:lang w:eastAsia="fr-FR"/>
      </w:rPr>
      <w:drawing>
        <wp:anchor distT="0" distB="0" distL="114300" distR="114300" simplePos="0" relativeHeight="251660288" behindDoc="0" locked="0" layoutInCell="1" allowOverlap="1">
          <wp:simplePos x="0" y="0"/>
          <wp:positionH relativeFrom="column">
            <wp:posOffset>-450215</wp:posOffset>
          </wp:positionH>
          <wp:positionV relativeFrom="paragraph">
            <wp:posOffset>718185</wp:posOffset>
          </wp:positionV>
          <wp:extent cx="7137400" cy="342900"/>
          <wp:effectExtent l="19050" t="0" r="635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137400" cy="342900"/>
                  </a:xfrm>
                  <a:prstGeom prst="rect">
                    <a:avLst/>
                  </a:prstGeom>
                  <a:noFill/>
                  <a:ln w="9525">
                    <a:noFill/>
                    <a:miter lim="800000"/>
                    <a:headEnd/>
                    <a:tailEnd/>
                  </a:ln>
                </pic:spPr>
              </pic:pic>
            </a:graphicData>
          </a:graphic>
        </wp:anchor>
      </w:drawing>
    </w:r>
    <w:r w:rsidR="00045372">
      <w:rPr>
        <w:noProof/>
        <w:lang w:eastAsia="fr-FR"/>
      </w:rPr>
      <w:pict>
        <v:shapetype id="_x0000_t202" coordsize="21600,21600" o:spt="202" path="m,l,21600r21600,l21600,xe">
          <v:stroke joinstyle="miter"/>
          <v:path gradientshapeok="t" o:connecttype="rect"/>
        </v:shapetype>
        <v:shape id="Text Box 2" o:spid="_x0000_s4098" type="#_x0000_t202" style="position:absolute;margin-left:-2.4pt;margin-top:53.4pt;width:551.2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43tQ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aRoB1Q9MhGg+7kiCLbnaHXKTg99OBmRjgGll2lur+X5TeNhFw1VGzZrVJyaBitILvQ3vQvrk44&#10;2oJsho+ygjB0Z6QDGmvV2dZBMxCgA0tPJ2ZsKiUcLoIgiAiYSrCRMCSxo86n6fF2r7R5z2SH7CLD&#10;Cph36HR/r43NhqZHFxtMyIK3rWO/Fc8OwHE6gdhw1dpsFo7Mn0mQrON1TDwSzdceCfLcuy1WxJsX&#10;4WKWv8tXqzz8ZeOGJG14VTFhwxyFFZI/I+4g8UkSJ2lp2fLKwtmUtNpuVq1CewrCLtzneg6Ws5v/&#10;PA3XBKjlRUkhNPYuSrxiHi88UpCZlyyC2AvC5C6ZByQhefG8pHsu2L+XhIYMJ7NoNonpnPSL2oB4&#10;+F7XRtOOGxgdLe8yHJ+caGoluBaVo9ZQ3k7ri1bY9M+tALqPRDvBWo1OajXjZgQUq+KNrJ5AukqC&#10;skCEMO9g0Uj1A6MBZkeG9fcdVQyj9oMA+SchsVo1bkNmiwg26tKyubRQUQJUhg1G03JlpgG16xXf&#10;NhBpenBC3sKTqblT8zmrw0OD+eCKOswyO4Au987rPHGXvwEAAP//AwBQSwMEFAAGAAgAAAAhAAqt&#10;c8XeAAAACwEAAA8AAABkcnMvZG93bnJldi54bWxMj09PwzAMxe9IfIfISNw2Z2h0rDSdEIgriPFH&#10;4pY1XlvROFWTreXb453Y7dnv6fnnYjP5Th1piG1gA4u5BkVcBddybeDj/Xl2Byomy852gcnAL0XY&#10;lJcXhc1dGPmNjttUKynhmFsDTUp9jhirhryN89ATi7cPg7dJxqFGN9hRyn2HN1pn6G3LcqGxPT02&#10;VP1sD97A58v++2upX+snf9uPYdLIfo3GXF9ND/egEk3pPwwnfEGHUph24cAuqs7AbCnkSfY6E3EK&#10;6PUqA7UTtVpkgGWB5z+UfwAAAP//AwBQSwECLQAUAAYACAAAACEAtoM4kv4AAADhAQAAEwAAAAAA&#10;AAAAAAAAAAAAAAAAW0NvbnRlbnRfVHlwZXNdLnhtbFBLAQItABQABgAIAAAAIQA4/SH/1gAAAJQB&#10;AAALAAAAAAAAAAAAAAAAAC8BAABfcmVscy8ucmVsc1BLAQItABQABgAIAAAAIQCPx643tQIAALkF&#10;AAAOAAAAAAAAAAAAAAAAAC4CAABkcnMvZTJvRG9jLnhtbFBLAQItABQABgAIAAAAIQAKrXPF3gAA&#10;AAsBAAAPAAAAAAAAAAAAAAAAAA8FAABkcnMvZG93bnJldi54bWxQSwUGAAAAAAQABADzAAAAGgYA&#10;AAAA&#10;" filled="f" stroked="f">
          <v:textbox>
            <w:txbxContent>
              <w:p w:rsidR="00650412" w:rsidRPr="00783776" w:rsidRDefault="00650412">
                <w:pPr>
                  <w:rPr>
                    <w:b/>
                    <w:color w:val="FFFFFF" w:themeColor="background1"/>
                    <w:spacing w:val="100"/>
                    <w:sz w:val="40"/>
                    <w:szCs w:val="32"/>
                  </w:rPr>
                </w:pPr>
                <w:r w:rsidRPr="00783776">
                  <w:rPr>
                    <w:b/>
                    <w:color w:val="FFFFFF" w:themeColor="background1"/>
                    <w:spacing w:val="100"/>
                    <w:sz w:val="40"/>
                    <w:szCs w:val="32"/>
                  </w:rPr>
                  <w:t>COMMUNIQUÉ DE PRESSE</w:t>
                </w:r>
              </w:p>
            </w:txbxContent>
          </v:textbox>
        </v:shape>
      </w:pict>
    </w:r>
    <w:r>
      <w:rPr>
        <w:noProof/>
        <w:lang w:eastAsia="fr-FR"/>
      </w:rPr>
      <w:drawing>
        <wp:anchor distT="0" distB="0" distL="114300" distR="114300" simplePos="0" relativeHeight="251659264" behindDoc="0" locked="0" layoutInCell="1" allowOverlap="1">
          <wp:simplePos x="0" y="0"/>
          <wp:positionH relativeFrom="column">
            <wp:posOffset>5302885</wp:posOffset>
          </wp:positionH>
          <wp:positionV relativeFrom="paragraph">
            <wp:posOffset>-462915</wp:posOffset>
          </wp:positionV>
          <wp:extent cx="1657350" cy="10280650"/>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4346" t="1029" r="7999"/>
                  <a:stretch>
                    <a:fillRect/>
                  </a:stretch>
                </pic:blipFill>
                <pic:spPr bwMode="auto">
                  <a:xfrm>
                    <a:off x="0" y="0"/>
                    <a:ext cx="1657350" cy="10280650"/>
                  </a:xfrm>
                  <a:prstGeom prst="rect">
                    <a:avLst/>
                  </a:prstGeom>
                  <a:noFill/>
                  <a:ln w="9525">
                    <a:noFill/>
                    <a:miter lim="800000"/>
                    <a:headEnd/>
                    <a:tailEnd/>
                  </a:ln>
                </pic:spPr>
              </pic:pic>
            </a:graphicData>
          </a:graphic>
        </wp:anchor>
      </w:drawing>
    </w:r>
    <w:r>
      <w:rPr>
        <w:noProof/>
        <w:lang w:eastAsia="fr-FR"/>
      </w:rPr>
      <w:drawing>
        <wp:inline distT="0" distB="0" distL="0" distR="0">
          <wp:extent cx="4175760" cy="594360"/>
          <wp:effectExtent l="19050" t="0" r="0" b="0"/>
          <wp:docPr id="4" name="Image 3" descr="cci-nouvelle-aquit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nouvelle-aquitaine.png"/>
                  <pic:cNvPicPr/>
                </pic:nvPicPr>
                <pic:blipFill>
                  <a:blip r:embed="rId3"/>
                  <a:stretch>
                    <a:fillRect/>
                  </a:stretch>
                </pic:blipFill>
                <pic:spPr>
                  <a:xfrm>
                    <a:off x="0" y="0"/>
                    <a:ext cx="4175760" cy="594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36748"/>
    <w:multiLevelType w:val="hybridMultilevel"/>
    <w:tmpl w:val="5310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9E2291"/>
    <w:multiLevelType w:val="hybridMultilevel"/>
    <w:tmpl w:val="F86E589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C361EF"/>
    <w:multiLevelType w:val="hybridMultilevel"/>
    <w:tmpl w:val="D8A6E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9D1F98"/>
    <w:multiLevelType w:val="hybridMultilevel"/>
    <w:tmpl w:val="9CD07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E61855"/>
    <w:multiLevelType w:val="hybridMultilevel"/>
    <w:tmpl w:val="74C2B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100">
      <o:colormru v:ext="edit" colors="#d20046"/>
      <o:colormenu v:ext="edit" fillcolor="none" strokecolor="none"/>
    </o:shapedefaults>
    <o:shapelayout v:ext="edit">
      <o:idmap v:ext="edit" data="4"/>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71FC9"/>
    <w:rsid w:val="00012EE5"/>
    <w:rsid w:val="00013EF6"/>
    <w:rsid w:val="00014E0A"/>
    <w:rsid w:val="00017327"/>
    <w:rsid w:val="0002087D"/>
    <w:rsid w:val="000233D5"/>
    <w:rsid w:val="00045372"/>
    <w:rsid w:val="000505B7"/>
    <w:rsid w:val="000524E9"/>
    <w:rsid w:val="00057CB3"/>
    <w:rsid w:val="000716BD"/>
    <w:rsid w:val="00075144"/>
    <w:rsid w:val="00091BAD"/>
    <w:rsid w:val="000A16A2"/>
    <w:rsid w:val="000A1F02"/>
    <w:rsid w:val="000B7898"/>
    <w:rsid w:val="000D5F61"/>
    <w:rsid w:val="0010521C"/>
    <w:rsid w:val="00135082"/>
    <w:rsid w:val="00136546"/>
    <w:rsid w:val="00145F62"/>
    <w:rsid w:val="001516C7"/>
    <w:rsid w:val="00174818"/>
    <w:rsid w:val="001B018A"/>
    <w:rsid w:val="001D10D6"/>
    <w:rsid w:val="001D6A57"/>
    <w:rsid w:val="001D7C2A"/>
    <w:rsid w:val="001E1140"/>
    <w:rsid w:val="001E1270"/>
    <w:rsid w:val="001F1660"/>
    <w:rsid w:val="002167C4"/>
    <w:rsid w:val="002372DA"/>
    <w:rsid w:val="002547D9"/>
    <w:rsid w:val="002570DB"/>
    <w:rsid w:val="0029256A"/>
    <w:rsid w:val="0029799F"/>
    <w:rsid w:val="002A67FC"/>
    <w:rsid w:val="002B4647"/>
    <w:rsid w:val="002B5AB8"/>
    <w:rsid w:val="002C5C7E"/>
    <w:rsid w:val="00316AE6"/>
    <w:rsid w:val="0033666F"/>
    <w:rsid w:val="00357A35"/>
    <w:rsid w:val="00361718"/>
    <w:rsid w:val="003704D3"/>
    <w:rsid w:val="00382F4A"/>
    <w:rsid w:val="003A23BE"/>
    <w:rsid w:val="003C2E64"/>
    <w:rsid w:val="003C5686"/>
    <w:rsid w:val="003C7A42"/>
    <w:rsid w:val="003F4030"/>
    <w:rsid w:val="00461293"/>
    <w:rsid w:val="0046646B"/>
    <w:rsid w:val="00474034"/>
    <w:rsid w:val="00475490"/>
    <w:rsid w:val="00486141"/>
    <w:rsid w:val="004A0125"/>
    <w:rsid w:val="004C2E60"/>
    <w:rsid w:val="00502A0D"/>
    <w:rsid w:val="0050575B"/>
    <w:rsid w:val="00541C84"/>
    <w:rsid w:val="005656CB"/>
    <w:rsid w:val="005A4C75"/>
    <w:rsid w:val="00605237"/>
    <w:rsid w:val="00617504"/>
    <w:rsid w:val="0063480F"/>
    <w:rsid w:val="00650412"/>
    <w:rsid w:val="0065045C"/>
    <w:rsid w:val="00661D23"/>
    <w:rsid w:val="0069487B"/>
    <w:rsid w:val="006E56D6"/>
    <w:rsid w:val="00713195"/>
    <w:rsid w:val="00726628"/>
    <w:rsid w:val="00736FA3"/>
    <w:rsid w:val="00747A49"/>
    <w:rsid w:val="007650E4"/>
    <w:rsid w:val="00783776"/>
    <w:rsid w:val="007976D5"/>
    <w:rsid w:val="007A77EA"/>
    <w:rsid w:val="008238B6"/>
    <w:rsid w:val="0085347E"/>
    <w:rsid w:val="00857F73"/>
    <w:rsid w:val="008A486E"/>
    <w:rsid w:val="008F6F2F"/>
    <w:rsid w:val="00943448"/>
    <w:rsid w:val="009629BA"/>
    <w:rsid w:val="0096327E"/>
    <w:rsid w:val="0097093A"/>
    <w:rsid w:val="00973099"/>
    <w:rsid w:val="009818E8"/>
    <w:rsid w:val="009B1972"/>
    <w:rsid w:val="009B34FD"/>
    <w:rsid w:val="009C43C4"/>
    <w:rsid w:val="009D44B0"/>
    <w:rsid w:val="009E682E"/>
    <w:rsid w:val="00A71FC9"/>
    <w:rsid w:val="00A7262B"/>
    <w:rsid w:val="00A8615D"/>
    <w:rsid w:val="00A91C46"/>
    <w:rsid w:val="00AA0301"/>
    <w:rsid w:val="00AC7FE3"/>
    <w:rsid w:val="00B04469"/>
    <w:rsid w:val="00B21BAF"/>
    <w:rsid w:val="00B26305"/>
    <w:rsid w:val="00BA44F4"/>
    <w:rsid w:val="00BE38EF"/>
    <w:rsid w:val="00BE6BE1"/>
    <w:rsid w:val="00C01696"/>
    <w:rsid w:val="00C019DE"/>
    <w:rsid w:val="00C9427B"/>
    <w:rsid w:val="00CB5273"/>
    <w:rsid w:val="00CC16F9"/>
    <w:rsid w:val="00CD2114"/>
    <w:rsid w:val="00CE2AA8"/>
    <w:rsid w:val="00CF2766"/>
    <w:rsid w:val="00D00D7B"/>
    <w:rsid w:val="00D151D1"/>
    <w:rsid w:val="00D16DE6"/>
    <w:rsid w:val="00D26028"/>
    <w:rsid w:val="00D33339"/>
    <w:rsid w:val="00D8323A"/>
    <w:rsid w:val="00DC2F0D"/>
    <w:rsid w:val="00DC4F16"/>
    <w:rsid w:val="00DD48F8"/>
    <w:rsid w:val="00E1464E"/>
    <w:rsid w:val="00E155D7"/>
    <w:rsid w:val="00E62FE2"/>
    <w:rsid w:val="00E81A38"/>
    <w:rsid w:val="00F209F6"/>
    <w:rsid w:val="00F679BC"/>
    <w:rsid w:val="00FC6CC0"/>
    <w:rsid w:val="00FE4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00">
      <o:colormru v:ext="edit" colors="#d20046"/>
      <o:colormenu v:ext="edit" fillcolor="none" strokecolor="none"/>
    </o:shapedefaults>
    <o:shapelayout v:ext="edit">
      <o:idmap v:ext="edit" data="1"/>
    </o:shapelayout>
  </w:shapeDefaults>
  <w:decimalSymbol w:val=","/>
  <w:listSeparator w:val=";"/>
  <w14:docId w14:val="37723F5B"/>
  <w15:docId w15:val="{7D380C7D-A99B-44C8-8A58-EB109997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FC9"/>
    <w:pPr>
      <w:spacing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A71FC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En-tte">
    <w:name w:val="header"/>
    <w:basedOn w:val="Normal"/>
    <w:link w:val="En-tteCar"/>
    <w:uiPriority w:val="99"/>
    <w:unhideWhenUsed/>
    <w:rsid w:val="00A71FC9"/>
    <w:pPr>
      <w:tabs>
        <w:tab w:val="center" w:pos="4536"/>
        <w:tab w:val="right" w:pos="9072"/>
      </w:tabs>
      <w:spacing w:after="0"/>
    </w:pPr>
  </w:style>
  <w:style w:type="character" w:customStyle="1" w:styleId="En-tteCar">
    <w:name w:val="En-tête Car"/>
    <w:basedOn w:val="Policepardfaut"/>
    <w:link w:val="En-tte"/>
    <w:uiPriority w:val="99"/>
    <w:rsid w:val="00A71FC9"/>
    <w:rPr>
      <w:sz w:val="24"/>
      <w:szCs w:val="24"/>
    </w:rPr>
  </w:style>
  <w:style w:type="paragraph" w:styleId="Pieddepage">
    <w:name w:val="footer"/>
    <w:basedOn w:val="Normal"/>
    <w:link w:val="PieddepageCar"/>
    <w:uiPriority w:val="99"/>
    <w:unhideWhenUsed/>
    <w:rsid w:val="00A71FC9"/>
    <w:pPr>
      <w:tabs>
        <w:tab w:val="center" w:pos="4536"/>
        <w:tab w:val="right" w:pos="9072"/>
      </w:tabs>
      <w:spacing w:after="0"/>
    </w:pPr>
  </w:style>
  <w:style w:type="character" w:customStyle="1" w:styleId="PieddepageCar">
    <w:name w:val="Pied de page Car"/>
    <w:basedOn w:val="Policepardfaut"/>
    <w:link w:val="Pieddepage"/>
    <w:uiPriority w:val="99"/>
    <w:rsid w:val="00A71FC9"/>
    <w:rPr>
      <w:sz w:val="24"/>
      <w:szCs w:val="24"/>
    </w:rPr>
  </w:style>
  <w:style w:type="paragraph" w:styleId="Textedebulles">
    <w:name w:val="Balloon Text"/>
    <w:basedOn w:val="Normal"/>
    <w:link w:val="TextedebullesCar"/>
    <w:uiPriority w:val="99"/>
    <w:semiHidden/>
    <w:unhideWhenUsed/>
    <w:rsid w:val="00A71FC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71FC9"/>
    <w:rPr>
      <w:rFonts w:ascii="Tahoma" w:hAnsi="Tahoma" w:cs="Tahoma"/>
      <w:sz w:val="16"/>
      <w:szCs w:val="16"/>
    </w:rPr>
  </w:style>
  <w:style w:type="character" w:customStyle="1" w:styleId="A4">
    <w:name w:val="A4"/>
    <w:uiPriority w:val="99"/>
    <w:rsid w:val="00FE4336"/>
    <w:rPr>
      <w:color w:val="000000"/>
      <w:sz w:val="19"/>
      <w:szCs w:val="19"/>
    </w:rPr>
  </w:style>
  <w:style w:type="character" w:styleId="lev">
    <w:name w:val="Strong"/>
    <w:basedOn w:val="Policepardfaut"/>
    <w:uiPriority w:val="22"/>
    <w:qFormat/>
    <w:rsid w:val="00475490"/>
    <w:rPr>
      <w:b/>
      <w:bCs/>
    </w:rPr>
  </w:style>
  <w:style w:type="paragraph" w:styleId="Corpsdetexte3">
    <w:name w:val="Body Text 3"/>
    <w:basedOn w:val="Normal"/>
    <w:link w:val="Corpsdetexte3Car"/>
    <w:semiHidden/>
    <w:rsid w:val="00357A35"/>
    <w:pPr>
      <w:spacing w:after="0"/>
      <w:jc w:val="both"/>
    </w:pPr>
    <w:rPr>
      <w:rFonts w:ascii="StoneSans" w:eastAsia="Times New Roman" w:hAnsi="StoneSans" w:cs="Times New Roman"/>
      <w:sz w:val="22"/>
      <w:szCs w:val="20"/>
      <w:lang w:eastAsia="fr-FR"/>
    </w:rPr>
  </w:style>
  <w:style w:type="character" w:customStyle="1" w:styleId="Corpsdetexte3Car">
    <w:name w:val="Corps de texte 3 Car"/>
    <w:basedOn w:val="Policepardfaut"/>
    <w:link w:val="Corpsdetexte3"/>
    <w:semiHidden/>
    <w:rsid w:val="00357A35"/>
    <w:rPr>
      <w:rFonts w:ascii="StoneSans" w:eastAsia="Times New Roman" w:hAnsi="StoneSans" w:cs="Times New Roman"/>
      <w:szCs w:val="20"/>
      <w:lang w:eastAsia="fr-FR"/>
    </w:rPr>
  </w:style>
  <w:style w:type="paragraph" w:customStyle="1" w:styleId="Default">
    <w:name w:val="Default"/>
    <w:rsid w:val="00D8323A"/>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link w:val="ParagraphedelisteCar"/>
    <w:uiPriority w:val="34"/>
    <w:qFormat/>
    <w:rsid w:val="00E1464E"/>
    <w:pPr>
      <w:ind w:left="720"/>
      <w:contextualSpacing/>
    </w:pPr>
  </w:style>
  <w:style w:type="character" w:styleId="Lienhypertexte">
    <w:name w:val="Hyperlink"/>
    <w:basedOn w:val="Policepardfaut"/>
    <w:uiPriority w:val="99"/>
    <w:unhideWhenUsed/>
    <w:rsid w:val="001D10D6"/>
    <w:rPr>
      <w:color w:val="0000FF"/>
      <w:u w:val="single"/>
    </w:rPr>
  </w:style>
  <w:style w:type="paragraph" w:customStyle="1" w:styleId="Corpsdetexte21">
    <w:name w:val="Corps de texte 21"/>
    <w:basedOn w:val="Normal"/>
    <w:rsid w:val="005656CB"/>
    <w:pPr>
      <w:spacing w:after="0"/>
      <w:jc w:val="both"/>
    </w:pPr>
    <w:rPr>
      <w:rFonts w:ascii="StoneSans" w:eastAsia="Times New Roman" w:hAnsi="StoneSans" w:cs="Times New Roman"/>
      <w:sz w:val="22"/>
      <w:szCs w:val="20"/>
      <w:lang w:eastAsia="fr-FR"/>
    </w:rPr>
  </w:style>
  <w:style w:type="paragraph" w:styleId="Corpsdetexte">
    <w:name w:val="Body Text"/>
    <w:basedOn w:val="Normal"/>
    <w:link w:val="CorpsdetexteCar"/>
    <w:uiPriority w:val="99"/>
    <w:semiHidden/>
    <w:unhideWhenUsed/>
    <w:rsid w:val="0096327E"/>
    <w:pPr>
      <w:spacing w:after="120"/>
    </w:pPr>
  </w:style>
  <w:style w:type="character" w:customStyle="1" w:styleId="CorpsdetexteCar">
    <w:name w:val="Corps de texte Car"/>
    <w:basedOn w:val="Policepardfaut"/>
    <w:link w:val="Corpsdetexte"/>
    <w:uiPriority w:val="99"/>
    <w:semiHidden/>
    <w:rsid w:val="0096327E"/>
    <w:rPr>
      <w:sz w:val="24"/>
      <w:szCs w:val="24"/>
    </w:rPr>
  </w:style>
  <w:style w:type="character" w:customStyle="1" w:styleId="ParagraphedelisteCar">
    <w:name w:val="Paragraphe de liste Car"/>
    <w:link w:val="Paragraphedeliste"/>
    <w:uiPriority w:val="34"/>
    <w:locked/>
    <w:rsid w:val="000D5F61"/>
    <w:rPr>
      <w:sz w:val="24"/>
      <w:szCs w:val="24"/>
    </w:rPr>
  </w:style>
  <w:style w:type="character" w:styleId="Mentionnonrsolue">
    <w:name w:val="Unresolved Mention"/>
    <w:basedOn w:val="Policepardfaut"/>
    <w:uiPriority w:val="99"/>
    <w:semiHidden/>
    <w:unhideWhenUsed/>
    <w:rsid w:val="001E11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garcia@bordeauxgironde.cci.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D7F4-3FF3-48C6-A311-C2F3E0BE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Franco</dc:creator>
  <cp:keywords/>
  <dc:description/>
  <cp:lastModifiedBy>Philippe GARCIA</cp:lastModifiedBy>
  <cp:revision>9</cp:revision>
  <cp:lastPrinted>2016-12-20T13:21:00Z</cp:lastPrinted>
  <dcterms:created xsi:type="dcterms:W3CDTF">2016-12-20T14:11:00Z</dcterms:created>
  <dcterms:modified xsi:type="dcterms:W3CDTF">2018-02-13T11:00:00Z</dcterms:modified>
</cp:coreProperties>
</file>